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uppressAutoHyphens w:val="true"/>
        <w:spacing w:lineRule="auto" w:line="360" w:before="0" w:after="0"/>
        <w:jc w:val="both"/>
        <w:rPr>
          <w:rFonts w:eastAsia="Times New Roman" w:cs="Arial" w:ascii="Times New Roman" w:hAnsi="Times New Roman"/>
          <w:b/>
          <w:bCs/>
          <w:sz w:val="24"/>
          <w:szCs w:val="24"/>
          <w:lang w:eastAsia="zh-CN"/>
        </w:rPr>
      </w:pPr>
      <w:r>
        <w:rPr>
          <w:rFonts w:eastAsia="Times New Roman" w:cs="Arial" w:ascii="Times New Roman" w:hAnsi="Times New Roman"/>
          <w:b/>
          <w:bCs/>
          <w:sz w:val="24"/>
          <w:szCs w:val="24"/>
          <w:lang w:eastAsia="zh-CN"/>
        </w:rPr>
        <w:t xml:space="preserve">Αριθμός απόφασης    </w:t>
      </w:r>
      <w:r>
        <w:rPr>
          <w:rFonts w:eastAsia="Times New Roman" w:cs="Arial" w:ascii="Times New Roman" w:hAnsi="Times New Roman"/>
          <w:b/>
          <w:bCs/>
          <w:sz w:val="24"/>
          <w:szCs w:val="24"/>
          <w:lang w:eastAsia="zh-CN"/>
        </w:rPr>
        <w:t>9699/17-7-2019</w:t>
      </w:r>
    </w:p>
    <w:p>
      <w:pPr>
        <w:pStyle w:val="Normal"/>
        <w:suppressAutoHyphens w:val="true"/>
        <w:spacing w:lineRule="auto" w:line="360" w:before="0" w:after="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ΑΓ ...........</w:t>
      </w:r>
    </w:p>
    <w:p>
      <w:pPr>
        <w:pStyle w:val="Normal"/>
        <w:suppressAutoHyphens w:val="true"/>
        <w:spacing w:lineRule="auto" w:line="360" w:before="0" w:after="0"/>
        <w:jc w:val="center"/>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ΤΟ</w:t>
      </w:r>
    </w:p>
    <w:p>
      <w:pPr>
        <w:pStyle w:val="Normal"/>
        <w:suppressAutoHyphens w:val="true"/>
        <w:spacing w:lineRule="auto" w:line="360" w:before="0" w:after="0"/>
        <w:jc w:val="center"/>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ΔΙΟΙΚΗΤΙΚΟ ΠΡΩΤΟΔΙΚΕΙΟ ΑΘΗΝΑΣ</w:t>
      </w:r>
    </w:p>
    <w:p>
      <w:pPr>
        <w:pStyle w:val="Normal"/>
        <w:suppressAutoHyphens w:val="true"/>
        <w:spacing w:lineRule="auto" w:line="360" w:before="0" w:after="0"/>
        <w:jc w:val="center"/>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ΤΜΗΜΑ 9</w:t>
      </w:r>
      <w:r>
        <w:rPr>
          <w:rFonts w:eastAsia="Times New Roman" w:cs="Arial" w:ascii="Times New Roman" w:hAnsi="Times New Roman"/>
          <w:b w:val="false"/>
          <w:bCs w:val="false"/>
          <w:sz w:val="22"/>
          <w:szCs w:val="22"/>
          <w:vertAlign w:val="superscript"/>
          <w:lang w:eastAsia="zh-CN"/>
        </w:rPr>
        <w:t>ο</w:t>
      </w:r>
      <w:r>
        <w:rPr>
          <w:rFonts w:eastAsia="Times New Roman" w:cs="Arial" w:ascii="Times New Roman" w:hAnsi="Times New Roman"/>
          <w:b w:val="false"/>
          <w:bCs w:val="false"/>
          <w:sz w:val="22"/>
          <w:szCs w:val="22"/>
          <w:lang w:eastAsia="zh-CN"/>
        </w:rPr>
        <w:t xml:space="preserve"> ΜΟΝΟΜΕΛΕΣ</w:t>
      </w:r>
    </w:p>
    <w:p>
      <w:pPr>
        <w:pStyle w:val="Normal"/>
        <w:tabs>
          <w:tab w:val="left" w:pos="720" w:leader="none"/>
        </w:tabs>
        <w:suppressAutoHyphens w:val="true"/>
        <w:spacing w:lineRule="auto" w:line="360" w:before="0" w:after="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ab/>
        <w:t>Σ υ ν ε δ ρ ί α σ ε  δημόσια στο ακροατήριό του στις  20 Ιουνίου 2019 με δικαστή .....................</w:t>
      </w:r>
    </w:p>
    <w:p>
      <w:pPr>
        <w:pStyle w:val="Normal"/>
        <w:tabs>
          <w:tab w:val="left" w:pos="720" w:leader="none"/>
        </w:tabs>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γ ι α  να κρίνει την αγωγή με χρονολογία κατάθεσης 18-12-2018</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τ ο υ  ................Σπυρίδωνος ...............</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κατά του ν.π.δ.δ. με την επωνυμία</w:t>
      </w:r>
      <w:r>
        <w:rPr>
          <w:rFonts w:eastAsia="Times New Roman" w:cs="Arial" w:ascii="Times New Roman" w:hAnsi="Times New Roman"/>
          <w:b w:val="false"/>
          <w:bCs w:val="false"/>
          <w:sz w:val="22"/>
          <w:szCs w:val="22"/>
          <w:lang w:val="en-US" w:eastAsia="zh-CN"/>
        </w:rPr>
        <w:t> </w:t>
      </w:r>
      <w:r>
        <w:rPr>
          <w:rFonts w:eastAsia="Times New Roman" w:cs="Arial" w:ascii="Times New Roman" w:hAnsi="Times New Roman"/>
          <w:b w:val="false"/>
          <w:bCs w:val="false"/>
          <w:sz w:val="22"/>
          <w:szCs w:val="22"/>
          <w:lang w:eastAsia="zh-CN"/>
        </w:rPr>
        <w:t>«Ενιαίος Φορέας Κοινωνικής Ασφάλισης» (Ε.Φ.Κ.Α), το οποίο εκπροσωπείται από το Διοικητή του και παραστάθηκε δια του ...............</w:t>
      </w:r>
    </w:p>
    <w:p>
      <w:pPr>
        <w:pStyle w:val="Normal"/>
        <w:suppressAutoHyphens w:val="true"/>
        <w:spacing w:lineRule="auto" w:line="360" w:before="0" w:after="0"/>
        <w:ind w:left="0" w:right="0" w:firstLine="720"/>
        <w:jc w:val="center"/>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Αφού μελέτησε τη δικογραφία</w:t>
      </w:r>
    </w:p>
    <w:p>
      <w:pPr>
        <w:pStyle w:val="Normal"/>
        <w:suppressAutoHyphens w:val="true"/>
        <w:spacing w:lineRule="auto" w:line="360" w:before="0" w:after="0"/>
        <w:ind w:left="0" w:right="0" w:firstLine="720"/>
        <w:jc w:val="center"/>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Σκέφθηκε κατά το Νόμο</w:t>
      </w:r>
    </w:p>
    <w:p>
      <w:pPr>
        <w:pStyle w:val="Normal"/>
        <w:spacing w:lineRule="auto" w:line="360" w:before="0" w:after="0"/>
        <w:ind w:left="0" w:right="0" w:firstLine="720"/>
        <w:jc w:val="both"/>
        <w:rPr>
          <w:rFonts w:cs="Arial" w:ascii="Times New Roman" w:hAnsi="Times New Roman"/>
          <w:b w:val="false"/>
          <w:bCs w:val="false"/>
          <w:sz w:val="22"/>
          <w:szCs w:val="22"/>
        </w:rPr>
      </w:pPr>
      <w:r>
        <w:rPr>
          <w:rFonts w:eastAsia="Times New Roman" w:cs="Arial" w:ascii="Times New Roman" w:hAnsi="Times New Roman"/>
          <w:b w:val="false"/>
          <w:bCs w:val="false"/>
          <w:sz w:val="22"/>
          <w:szCs w:val="22"/>
          <w:lang w:eastAsia="el-GR"/>
        </w:rPr>
        <w:t xml:space="preserve">1. </w:t>
      </w:r>
      <w:r>
        <w:rPr>
          <w:rFonts w:cs="Arial" w:ascii="Times New Roman" w:hAnsi="Times New Roman"/>
          <w:b w:val="false"/>
          <w:bCs w:val="false"/>
          <w:sz w:val="22"/>
          <w:szCs w:val="22"/>
        </w:rPr>
        <w:t>Επειδή, με την κρινόμενη αγωγή, ο ενάγων ζητεί, παραδεκτώς, να αναγνωριστεί η υποχρέωση του εναγομένου να του καταβάλει, νομιμοτόκως, το ποσό των 1.453,62 ευρ</w:t>
      </w:r>
      <w:r>
        <w:rPr>
          <w:rFonts w:eastAsia="Times New Roman" w:cs="Arial" w:ascii="Times New Roman" w:hAnsi="Times New Roman"/>
          <w:b w:val="false"/>
          <w:bCs w:val="false"/>
          <w:sz w:val="22"/>
          <w:szCs w:val="22"/>
          <w:lang w:eastAsia="el-GR"/>
        </w:rPr>
        <w:t>ώ, ως αποζημίωση</w:t>
      </w:r>
      <w:r>
        <w:rPr>
          <w:rFonts w:cs="Arial" w:ascii="Times New Roman" w:hAnsi="Times New Roman"/>
          <w:b w:val="false"/>
          <w:bCs w:val="false"/>
          <w:sz w:val="22"/>
          <w:szCs w:val="22"/>
        </w:rPr>
        <w:t xml:space="preserve">, για την αποκατάσταση της ισόποσης οικονομικής ζημίας που υπέστη, λόγω των περικοπών που επιβλήθηκαν στη κύρια σύνταξή του, </w:t>
      </w:r>
      <w:r>
        <w:rPr>
          <w:rFonts w:eastAsia="Times New Roman" w:cs="Arial" w:ascii="Times New Roman" w:hAnsi="Times New Roman"/>
          <w:b w:val="false"/>
          <w:bCs w:val="false"/>
          <w:sz w:val="22"/>
          <w:szCs w:val="22"/>
          <w:lang w:eastAsia="el-GR"/>
        </w:rPr>
        <w:t>κατά το χρονικό διάστημα από τον Ιούλιο του 2015 έως και τον Δεκέμβριο του 2018, κατ’ εφαρμογή του άρθρου πρώτου παρ. ΙΑ υποπαρ. ΙΑ.5 περ. 1 και υποπαρ. ΙΑ.6 περ. 3 του ν. 4093/2012, καθώς επίσης και το ποσό των 1.000,00 ευρώ, ως χρηματική ικανοποίηση για την αποκατάσταση της ηθικής βλάβης,</w:t>
      </w:r>
      <w:r>
        <w:rPr>
          <w:rFonts w:cs="Arial" w:ascii="Times New Roman" w:hAnsi="Times New Roman"/>
          <w:b w:val="false"/>
          <w:bCs w:val="false"/>
          <w:sz w:val="22"/>
          <w:szCs w:val="22"/>
        </w:rPr>
        <w:t xml:space="preserve"> που, όπως υποστηρίζει, υπέστη, από την εφαρμογή των ανωτέρω αντισυνταγματικών, κατά τους ισχυρισμούς του, διατάξεων.</w:t>
      </w:r>
    </w:p>
    <w:p>
      <w:pPr>
        <w:pStyle w:val="Normal"/>
        <w:spacing w:lineRule="auto" w:line="360" w:before="0" w:after="0"/>
        <w:ind w:left="0" w:right="0" w:firstLine="720"/>
        <w:jc w:val="both"/>
        <w:rPr>
          <w:rFonts w:cs="Arial" w:ascii="Times New Roman" w:hAnsi="Times New Roman"/>
          <w:b w:val="false"/>
          <w:bCs w:val="false"/>
          <w:sz w:val="22"/>
          <w:szCs w:val="22"/>
        </w:rPr>
      </w:pPr>
      <w:r>
        <w:rPr>
          <w:rFonts w:cs="Arial" w:ascii="Times New Roman" w:hAnsi="Times New Roman"/>
          <w:b w:val="false"/>
          <w:bCs w:val="false"/>
          <w:sz w:val="22"/>
          <w:szCs w:val="22"/>
        </w:rPr>
        <w:t>2. Επειδή, στο άρθρο πρώτο παρ. ΙΑ του ν. 4093/2012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Α΄ 222/12.11.2012), όπως το τελευταίο εδάφιο της παρ. 1 του άρθρου αυτού αντικαταστάθηκε από το άρθρο 34 παρ. 4 του ν. 4111/2013 (Φ.Ε.Κ. Α΄ 18/25.1.2013) με έναρξη ισχύος - σύμφωνα με το άρθρο 49 παρ. 4 του ίδιου νόμου - από 5.12.2012, ορίζεται ότι: «ΙΑ.5. 1. Από 1.1.2013 η μηνιαία σύνταξη ή το άθροισμα των μηνιαίων συντάξεων άνω 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περίπτωση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περίπτωση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Από τις ανωτέρω μειώσεις εξαιρούνται όσοι λαμβάνουν το μηνιαίο εξωιδρυματικό επίδομα των παρ. 1 και 2 του άρθρου 42 του ν. 1140/1981 (Α΄ 68), όπως ισχύουν. 2. ... ΙΑ.6. 1. … 3. Από 1.1.2013 τα επιδόματα και δώρα εορτών Χριστουγέννων και Πάσχα και το επίδομα αδείας, που προβλέπονται από οποιαδήποτε γενική ή ειδική διάταξη νόμου ή κανονιστική πράξη ή καταστατική διάταξη για τους συνταξιούχους και βοηθηματούχους όλων των φορέων και τομέων κύριας και επικουρικής ασφάλισης αρμοδιότητας του Υπουργείου Εργασίας, Κοινωνικής Ασφάλισης και Πρόνοιας, καθώς και του ΟΓΑ, του NAT και της Τράπεζας της Ελλάδος καταργούνται. …».</w:t>
      </w:r>
    </w:p>
    <w:p>
      <w:pPr>
        <w:pStyle w:val="Normal"/>
        <w:spacing w:lineRule="auto" w:line="360"/>
        <w:ind w:left="0" w:right="0" w:firstLine="720"/>
        <w:jc w:val="both"/>
        <w:rPr>
          <w:rFonts w:eastAsia="Times New Roman" w:cs="Arial" w:ascii="Times New Roman" w:hAnsi="Times New Roman"/>
          <w:b w:val="false"/>
          <w:bCs w:val="false"/>
          <w:sz w:val="22"/>
          <w:szCs w:val="22"/>
        </w:rPr>
      </w:pPr>
      <w:r>
        <w:rPr>
          <w:rFonts w:eastAsia="Times New Roman" w:cs="Arial" w:ascii="Times New Roman" w:hAnsi="Times New Roman"/>
          <w:b w:val="false"/>
          <w:bCs w:val="false"/>
          <w:sz w:val="22"/>
          <w:szCs w:val="22"/>
        </w:rPr>
        <w:t>3. Επειδή, όπως κρίθηκε με τις 2287-2290/2015 αποφάσεις της Ολομέλειας του Συμβουλίου της Επικρατείας, με την εμφάνιση της οξύτατης δημοσιονομικής κρίσης στις αρχές του έτους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υποστήριξης αυτής, κυριαρχικώς, σειρά μέτρων περιστολής των δημοσίων δαπανών, μεταξύ των οποίων και η διενέργεια περικοπών και μειώσεων συνταξιοδοτικών παροχών των συνταξιοδοτούμενων από τους φορείς υποχρεωτικής κοινωνικής ασφάλισης. Οι περικοπές και οι μειώσεις αυτές, οι οποίες ξεκίνησαν από τα επιδόματα εορτών και αδείας των οργανισμών κύριας ασφάλισης (άρθρο τρίτο παρ. 10-14 του ν. 3845/2010, Α΄ 65), συνεχίσθηκαν δε σε σύντομο 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1-5 του ν. 4024/2011, Α΄ 226), εντάσσονται στις δέσμες μέτρων που έχουν ως βάση τις προβλέψεις του πρώτου «Μνημονίου» και του πρώτου «Μεσοπροθέσμου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κρίσης, κρίθηκε ότι δεν παραβιάζουν τις διατάξεις των άρθρων 2 παρ. 1, 4 παρ. 1 και 5, 22 παρ. 5, 25 παρ. 1 και 4 και 106 παρ. 1 του Συντάγματος και δεν αντίκεινται ούτε στο άρθρο 1 του Πρώτου Πρόσθετου Πρωτοκόλλου της Ε.Σ.Δ.Α.. Περαιτέρω, προς εφαρμογή του εγκριθέντος κατά το έτος 2012 δεύτερου «Μνημονίου Συνεννόησης» (ν. 4046/2012, Α΄ 28), ακολούθησαν κατά το ίδιο αυτό έτος, δύο νομοθετήματα με αντικείμενο την περαιτέρω, μετά τις προαναφερόμενες διαδοχικές περικοπές, περιστολή των κυρίων και επικουρικών συντάξεων. Ειδικότερα, με το άρθρο 6 του ν. 4051/2012 «Ρυθμίσεις συνταξιοδοτικού περιεχομένου και άλλες επείγουσες ρυθμίσεις εφαρμογής του Μνημονίου Συνεννόησης του Ν. 4046/2012» (Α΄ 40) μειώθηκαν αναδρομικά, από 1.1.2012, κατά 12% οι μηνιαίες κύριες συντάξεις που υπερβαίνουν το ποσό των 1.300 ευρώ και οι επικουρικές συντάξεις, με κλιμάκωση του ποσοστού μειώσεως (10%, 15% και 20%) αναλόγως του ύψους αυτών και με κατοχύρωση κατώτατου ορίου ποσού 200 ευρώ, ενώ, στη συνέχεια, ακολούθησε ο ν. 4093/2012 (Α΄ 222), με το άρθρο πρώτο του οποίου, αφενός μειώθηκαν εκ νέου, σε ποσοστό από 5% έως και 20%, οι από οποιαδήποτε πηγή και για οποιαδήποτε αιτία συντάξεις, που υπερβαίνουν αθροιστικώς τα 1.000 ευρώ, αφετέρου καταργήθηκαν πλέον για όλους τους συνταξιούχους τα επιδόματα και δώρα Χριστουγέννων, Πάσχα και αδείας. Στις αιτιολογικές εκθέσεις των εν λόγω διατάξεων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 Στο δεύτερο αυτό Μνημόνιο προβλεπόταν σχετικώς ότι «για την πορεία δημοσιονομικής προσαρμογής του προγράμματος» και ενόψει «των συνεχών προβλημάτων της Ελλάδας με τη φορολογική συμμόρφωση» θα χρειαζόταν η λήψη «επιπρόσθετων μέτρων», ότι «το μεγαλύτερο μέρος της προσαρμογής θα επιτυγχανόταν μέσω περικοπών δαπανών που θα αποσκοπούσαν στη μόνιμη μείωση του μεγέθους του κράτους», ότι «πολλές από αυτές τις περικοπές θα έπρεπε να αφορούν τις κοινωνικές μεταβιβάσεις» και ότι «η μεγάλη εναπομείνασα δημοσιονομική προσαρμογή θα έπρεπε κατ’ ανάγκη να περιλαμβάνει περαιτέρω προσαρμογές των συντάξεων […] με τρόπο που να προστατεύονται οι χαμηλοσυνταξιούχοι […]» (ΣτΕ 2287/2015 Ολομ.).</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 xml:space="preserve">4. Επειδή, οι τελευταίες ως άνω διατάξεις ψηφίσθηκαν όταν είχε πλέον παρέλθει διετία από τον πρώτο αιφνιδιασμό της οικονομικής κρίσης και αφού εντωμεταξύ είχαν σχεδιασθεί και ληφθεί τα βασικά μέτρα για την αντιμετώπισή της. Επομένως, κατά την επιχειρηθείσα με τις διατάξεις αυτές νέα, για πολλοστή φορά, περικοπή συνταξιοδοτικών παροχών της ίδιας ομάδας θιγομένων, ο νομοθέτης δεν δικαιολογείτο πλέον να προχωρήσει στην ψήφιση των σχετικών ρυθμίσεων χωρίς ειδική έρευνα του αντικειμένου αυτών, αλλά όφειλε, κατά τα προεκτεθέντα,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τον θεσμό της κοινωνικής ασφάλισης, τις αρχές της ισότητας και της αναλογικότητας και την προστασία της αξίας του ανθρώπου. Ειδικότερα, στο πλαίσιο της μελέτης αυτής, όφειλε, καταρχάς,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ενόψει της διοικητικής και οικονομικής του αυτοτέλειας), και, ενόψει των παραγόντων αυτών - όπως είναι η μείωση της αξίας, μέσω του </w:t>
      </w:r>
      <w:r>
        <w:rPr>
          <w:rFonts w:eastAsia="Times New Roman" w:cs="Arial" w:ascii="Times New Roman" w:hAnsi="Times New Roman"/>
          <w:b w:val="false"/>
          <w:bCs w:val="false"/>
          <w:sz w:val="22"/>
          <w:szCs w:val="22"/>
          <w:lang w:val="en-US" w:eastAsia="zh-CN"/>
        </w:rPr>
        <w:t>PSI</w:t>
      </w:r>
      <w:r>
        <w:rPr>
          <w:rFonts w:eastAsia="Times New Roman" w:cs="Arial" w:ascii="Times New Roman" w:hAnsi="Times New Roman"/>
          <w:b w:val="false"/>
          <w:bCs w:val="false"/>
          <w:sz w:val="22"/>
          <w:szCs w:val="22"/>
          <w:lang w:eastAsia="zh-CN"/>
        </w:rPr>
        <w:t xml:space="preserve"> (ν. 4050/2012), των διαθεσίμων κεφαλαίων των εν λόγω οργανισμών,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 - να κρίνει για την προσφορότητα των επίδικων αυτών μέτρων. Τούτο δε ενόψει και της διαπίστωσης του ότι τα αντίστοιχα μέτρα που είχε λάβει μέχρι τότε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κι αν τα επίδικα μέτρα κρίνονταν πρόσφορα, κατά τα ανωτέρω, ο νομοθέτης έπρεπε 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(δημοσιονομική προσαρμογή, βιωσιμότητα των ασφαλιστικών οργανισμών, διασφάλιση ικανοποιητικού, κατά το άρθρο 22 παρ. 5 του Συντάγματος, επιπέδου ζωής των ασφαλισμένων). Τέλος, εφόσον, πάντως, κατόπιν των ανωτέρω, ο νομοθέτης επέλεγε, όπως εν προκειμένω, να προβεί σε συγκεκριμένες περικοπές συντάξεων (επιλογή, καταρχήν, δικαστικώς ανέλεγκτη),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(όπως οι αλλεπάλληλες, κατά τα εκτεθέντα, φορολογικές επιβαρύνσεις) και συνδυαζόμενες με τις ευρύτερες κοινωνικοοικονομικές συνθήκες της διανυόμενης έκτακτης περιόδου (κόστος αγαθών και υπηρεσιών, περικοπές παροχών υγείας,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Πέραν δε τούτου, δεν προκύπτει ούτε ότι ελήφθησαν υπόψη οι κρίσιμες ως άνω συνταγματικές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(ενόψει της οικονομικής αυτοτέλειάς τους και των επιβαλλόμενων,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Άλλωστε, αντιθέτως προς όσα εκτίθενται παραπάνω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ασφάλισης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 μαθηματική σχέση μεταξύ καταβαλλόμενων εισφορών και χορηγούμενων παροχών. Κατόπιν τούτων, οι ανωτέρω διατάξεις των νόμων 4051/2012 και 4093/2012 αντίκεινται στις προπαρατεθείσες συνταγματικές διατάξεις και είναι, ως εκ τούτου, ανίσχυρες και μη εφαρμοστέες. Επιπλέον, υπό τα ανωτέρω δεδομένα, με τις ως άνω διατάξεις και την επέμβαση που επέρχεται μέσω αυτών στα δικαιώματα των ενδιαφερομένων, κλονίζεται η δίκαιη ισορροπία μεταξύ του γενικού συμφέροντος που τις υπαγόρευσε και των περιουσιακών δικαιωμάτων των θιγόμενων συνταξιούχων και ως εκ τούτου, με τις εν λόγω διατάξεις παραβιάζεται και το άρθρο 1 του Πρώτου Πρόσθετου Πρωτοκόλλου της Ε.Σ.Δ.Α. (ΣτΕ 2287/2015 Ολομ.).</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5. Επειδή, καθ’ εαυτή η διαγνωσθείσα αντισυνταγματικότητα των διατάξεων των ν. 4051/2012 και 4093/2012 ΙΑ5 παρ. 1 και ΙΑ6 παρ. 3 θα συνεπαγόταν υποχρέωση της Διοίκησης να συμμορφωθεί με αναδρομική καταβολή των συνταξιοδοτικών παροχών που περικόπησαν, βάσει των αντισυνταγματικών αυτών διατάξεων, σε ιδιαιτέρως ευρύ κύκλο προσώπων που αφορούσε η γενόμενη, ενώπιον του Συμβουλίου της Επικρατείας, συναφής πρότυπη δίκη. Ενόψει των δεδομένων τούτων, το Ανώτατο Δικαστήριο (Συμβούλιο της Επικρατείας), μετά τη στάθμιση του δημοσίου συμφέροντος, αναφερόμενο στην οξυμένη δημοσιονομική κρίση και στην κοινώς γνωστή ταμειακή δυσχέρεια του ελληνικού Κράτους, όρισε, κατ’ αναλογική εφαρμογή του άρθρου 22 παρ. 1 του ν. 4274/2014 (Α΄ 147), ότι οι συνέπειες της αντισυνταγματικότητας των επίμαχων διατάξεων θα επέρχονταν μετά τη δημοσίευση της σχετικής απόφασής του (2287/2015) -για τους εντεύθεν εγείροντες αξιώσεις επέκεινα- η οποία έλαβε χώρα στις 10-6-2015. Εν συνεχεία, έκρινε πως «οίκοθεν νοείται» ότι για όλους όσους έχουν ασκήσει ένδικα μέσα ή βοηθήματα μέχρι τον χρόνο δημοσίευσης της απόφασης, η διαγνωσθείσα αντισυνταγματικότητα θα έχει αναδρομικό χαρακτήρα (ΣτΕ 2287/2015 Ολομ. σκ. 26).</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6. Επειδή, τέλος, στο άρθρο 105 του Εισαγωγικού Νόμου του Αστικού Κώδικα (ΕισΝΑΚ, π.δ. 456/1984,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ότι: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Κατά την έννοια της διάταξης του άρθρου 105 του ΕισΝΑΚ, για τη στοιχειοθέτηση ευθύνης του Δημοσίου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παρέπεται ότι δεν μπορεί να προκύψει, έστω και εάν προκαλείται ζημία σε τρίτον, ευθύνη του Δημοσίου προς αποζημίωση, κατ’ εφαρμογή του άρθρου 105 του ΕισΝΑΚ, από την εκ μέρους της πολιτείας νομοθέτηση με τα αρμόδια αυτής όργανα ή από την παράλειψη των οργάνων αυτών να νομοθετήσουν, εκτός εάν από την νομοθέτηση ή την παράλειψή της γεννάται αντίθεση προς κανόνες δικαίου υπέρτερης τυπικής ισχύος. Στην τελευταία αυτήν περίπτωση, όταν οι επιζήμιες συνέπειες δεν επέρχονται απευθείας από την επίμαχη διάταξη αλλά επέρχονται από την εφαρμογή του ως άνω κανόνα δικαίου, δηλαδή από την πράξη της Διοίκησης που τον εφαρμόζει στην ατομική περίπτωση, η ευθύνη έναντι του ζημιωθέντος προκύπτει όχι από τον κανόνα δικαίου αλλά από την τελευταία αυτήν πράξη (ΣτΕ</w:t>
      </w:r>
      <w:r>
        <w:rPr>
          <w:rFonts w:eastAsia="Times New Roman" w:cs="Arial" w:ascii="Times New Roman" w:hAnsi="Times New Roman"/>
          <w:b w:val="false"/>
          <w:bCs w:val="false"/>
          <w:sz w:val="22"/>
          <w:szCs w:val="22"/>
          <w:lang w:val="en-US" w:eastAsia="zh-CN"/>
        </w:rPr>
        <w:t> </w:t>
      </w:r>
      <w:hyperlink r:id="rId2">
        <w:r>
          <w:rPr>
            <w:rStyle w:val="Style15"/>
            <w:rFonts w:eastAsia="Times New Roman" w:cs="Arial" w:ascii="Times New Roman" w:hAnsi="Times New Roman"/>
            <w:b w:val="false"/>
            <w:bCs w:val="false"/>
            <w:sz w:val="22"/>
            <w:szCs w:val="22"/>
            <w:lang w:eastAsia="zh-CN"/>
          </w:rPr>
          <w:t>4741/2014</w:t>
        </w:r>
      </w:hyperlink>
      <w:r>
        <w:rPr>
          <w:rFonts w:eastAsia="Times New Roman" w:cs="Arial" w:ascii="Times New Roman" w:hAnsi="Times New Roman"/>
          <w:b w:val="false"/>
          <w:bCs w:val="false"/>
          <w:sz w:val="22"/>
          <w:szCs w:val="22"/>
          <w:lang w:val="en-US" w:eastAsia="zh-CN"/>
        </w:rPr>
        <w:t xml:space="preserve"> </w:t>
      </w:r>
      <w:r>
        <w:rPr>
          <w:rFonts w:eastAsia="Times New Roman" w:cs="Arial" w:ascii="Times New Roman" w:hAnsi="Times New Roman"/>
          <w:b w:val="false"/>
          <w:bCs w:val="false"/>
          <w:sz w:val="22"/>
          <w:szCs w:val="22"/>
          <w:lang w:eastAsia="zh-CN"/>
        </w:rPr>
        <w:t xml:space="preserve">Ολομ., </w:t>
      </w:r>
      <w:hyperlink r:id="rId3">
        <w:r>
          <w:rPr>
            <w:rStyle w:val="Style15"/>
            <w:rFonts w:ascii="Times New Roman" w:hAnsi="Times New Roman"/>
          </w:rPr>
          <w:t>479-481/2018</w:t>
        </w:r>
      </w:hyperlink>
      <w:r>
        <w:rPr>
          <w:rFonts w:eastAsia="Times New Roman" w:cs="Arial" w:ascii="Times New Roman" w:hAnsi="Times New Roman"/>
          <w:b w:val="false"/>
          <w:bCs w:val="false"/>
          <w:sz w:val="22"/>
          <w:szCs w:val="22"/>
          <w:lang w:eastAsia="zh-CN"/>
        </w:rPr>
        <w:t xml:space="preserve"> Ολομ.). Η δε αποζημίωση προς αποκατάσταση της κατά τα ανωτέρω ζημίας περιλαμβάνει, κατά τα οριζόμενα στο άρθρο 298 του Αστικού Κώδικα, την πλήρη αποκατάσταση της θετικής και αποθετικής ζημίας του ζημιωθέντος. Συνεπώς, στην εν λόγω αποζημίωση περιλαμβάνεται τόσο η αποκατάσταση της ζημίας την οποία υπέστη η υπάρχουσα πριν την παράνομη πράξη ή παράλειψη των δημοσίων οργάνων περιουσία του ζημιωθέντος, όσο και η αποκατάσταση της ζημίας την οποία υπέστη αυτός με τη στέρηση, εξαιτίας της παράνομης πράξης ή παράλειψης, παροχών τις οποίες μετά πιθανότητας, κατά την συνήθη πορεία των πραγμάτων ή τις ειδικές περιστάσεις, θα αποκόμιζε εάν δεν είχε μεσολαβήσει η παράνομη αυτή πράξη ή παράλειψη (ΣτΕ</w:t>
      </w:r>
      <w:r>
        <w:rPr>
          <w:rFonts w:eastAsia="Times New Roman" w:cs="Arial" w:ascii="Times New Roman" w:hAnsi="Times New Roman"/>
          <w:b w:val="false"/>
          <w:bCs w:val="false"/>
          <w:sz w:val="22"/>
          <w:szCs w:val="22"/>
          <w:lang w:val="en-US" w:eastAsia="zh-CN"/>
        </w:rPr>
        <w:t xml:space="preserve"> </w:t>
      </w:r>
      <w:hyperlink r:id="rId4">
        <w:r>
          <w:rPr>
            <w:rStyle w:val="Style15"/>
            <w:rFonts w:ascii="Times New Roman" w:hAnsi="Times New Roman"/>
            <w:b w:val="false"/>
            <w:bCs w:val="false"/>
            <w:sz w:val="22"/>
            <w:szCs w:val="22"/>
          </w:rPr>
          <w:t>528/2014</w:t>
        </w:r>
      </w:hyperlink>
      <w:r>
        <w:rPr>
          <w:rFonts w:eastAsia="Times New Roman" w:cs="Arial" w:ascii="Times New Roman" w:hAnsi="Times New Roman"/>
          <w:b w:val="false"/>
          <w:bCs w:val="false"/>
          <w:sz w:val="22"/>
          <w:szCs w:val="22"/>
          <w:lang w:eastAsia="zh-CN"/>
        </w:rPr>
        <w:t xml:space="preserve">, </w:t>
      </w:r>
      <w:hyperlink r:id="rId5">
        <w:r>
          <w:rPr>
            <w:rStyle w:val="Style15"/>
            <w:rFonts w:ascii="Times New Roman" w:hAnsi="Times New Roman"/>
            <w:b w:val="false"/>
            <w:bCs w:val="false"/>
            <w:sz w:val="22"/>
            <w:szCs w:val="22"/>
          </w:rPr>
          <w:t>1283</w:t>
        </w:r>
      </w:hyperlink>
      <w:r>
        <w:rPr>
          <w:rFonts w:eastAsia="Times New Roman" w:cs="Arial" w:ascii="Times New Roman" w:hAnsi="Times New Roman"/>
          <w:b w:val="false"/>
          <w:bCs w:val="false"/>
          <w:sz w:val="22"/>
          <w:szCs w:val="22"/>
          <w:lang w:eastAsia="zh-CN"/>
        </w:rPr>
        <w:t xml:space="preserve">, </w:t>
      </w:r>
      <w:hyperlink r:id="rId6">
        <w:r>
          <w:rPr>
            <w:rStyle w:val="Style15"/>
            <w:rFonts w:ascii="Times New Roman" w:hAnsi="Times New Roman"/>
            <w:b w:val="false"/>
            <w:bCs w:val="false"/>
            <w:sz w:val="22"/>
            <w:szCs w:val="22"/>
          </w:rPr>
          <w:t>1284/2016</w:t>
        </w:r>
      </w:hyperlink>
      <w:r>
        <w:rPr>
          <w:rFonts w:eastAsia="Times New Roman" w:cs="Arial" w:ascii="Times New Roman" w:hAnsi="Times New Roman"/>
          <w:b w:val="false"/>
          <w:bCs w:val="false"/>
          <w:sz w:val="22"/>
          <w:szCs w:val="22"/>
          <w:lang w:eastAsia="zh-CN"/>
        </w:rPr>
        <w:t xml:space="preserve">, </w:t>
      </w:r>
      <w:hyperlink r:id="rId7">
        <w:r>
          <w:rPr>
            <w:rStyle w:val="Style15"/>
          </w:rPr>
          <w:t>1369/2018</w:t>
        </w:r>
      </w:hyperlink>
      <w:r>
        <w:rPr>
          <w:rFonts w:eastAsia="Times New Roman" w:cs="Arial" w:ascii="Times New Roman" w:hAnsi="Times New Roman"/>
          <w:b w:val="false"/>
          <w:bCs w:val="false"/>
          <w:sz w:val="22"/>
          <w:szCs w:val="22"/>
          <w:lang w:eastAsia="zh-CN"/>
        </w:rPr>
        <w:t xml:space="preserve"> 7/μελές κ.ά.).</w:t>
      </w:r>
    </w:p>
    <w:p>
      <w:pPr>
        <w:pStyle w:val="Normal"/>
        <w:spacing w:lineRule="auto" w:line="360" w:before="0" w:after="0"/>
        <w:ind w:left="0" w:right="0" w:firstLine="720"/>
        <w:jc w:val="both"/>
        <w:rPr>
          <w:rFonts w:eastAsia="Times New Roman" w:cs="Arial" w:ascii="Times New Roman" w:hAnsi="Times New Roman"/>
          <w:b w:val="false"/>
          <w:bCs w:val="false"/>
          <w:sz w:val="22"/>
          <w:szCs w:val="22"/>
        </w:rPr>
      </w:pPr>
      <w:r>
        <w:rPr>
          <w:rFonts w:eastAsia="Times New Roman" w:cs="Arial" w:ascii="Times New Roman" w:hAnsi="Times New Roman"/>
          <w:b w:val="false"/>
          <w:bCs w:val="false"/>
          <w:sz w:val="22"/>
          <w:szCs w:val="22"/>
          <w:lang w:eastAsia="el-GR"/>
        </w:rPr>
        <w:t xml:space="preserve">7. Επειδή, στην προκειμένη περίπτωση, από τα στοιχεία της δικογραφίας προκύπτουν τα εξής: Ο ενάγων συνταξιοδοτήθηκε λόγω γήρατος από τον ΟΑΕΕ και ήδη ΕΦΚΑ, από 1-2-2011, το δε ποσό της μηνιαίας σύνταξής αυτού, από της έναρξης αυτής έως και 31-12-2018, ανερχόταν σε 1.034,62 ευρώ (σχετ. Η ............ απόφαση του Προϊσταμένου της Περ/κής Διεύθυνσης Κέντρου Αθηνών του ΟΑΕΕ). Όμως, κατ’ εφαρμογή των διατάξεων του ν. 4093/2012 επιβλήθηκαν περικοπές στην ως άνω σύνταξη του ενάγοντος, το ύψος των οποίων ανέρχεται, κατά το χρονικό διάστημα από </w:t>
      </w:r>
      <w:bookmarkStart w:id="0" w:name="_Hlk13565990"/>
      <w:r>
        <w:rPr>
          <w:rFonts w:eastAsia="Times New Roman" w:cs="Arial" w:ascii="Times New Roman" w:hAnsi="Times New Roman"/>
          <w:b w:val="false"/>
          <w:bCs w:val="false"/>
          <w:sz w:val="22"/>
          <w:szCs w:val="22"/>
          <w:lang w:eastAsia="el-GR"/>
        </w:rPr>
        <w:t>1-7-2015 έως και 31-12-2018</w:t>
      </w:r>
      <w:bookmarkEnd w:id="0"/>
      <w:r>
        <w:rPr>
          <w:rFonts w:eastAsia="Times New Roman" w:cs="Arial" w:ascii="Times New Roman" w:hAnsi="Times New Roman"/>
          <w:b w:val="false"/>
          <w:bCs w:val="false"/>
          <w:sz w:val="22"/>
          <w:szCs w:val="22"/>
          <w:lang w:eastAsia="el-GR"/>
        </w:rPr>
        <w:t xml:space="preserve">, σε 34,61 ευρώ το μήνα και συνολικά στο ποσό των </w:t>
      </w:r>
      <w:bookmarkStart w:id="1" w:name="_Hlk13565798"/>
      <w:r>
        <w:rPr>
          <w:rFonts w:eastAsia="Times New Roman" w:cs="Arial" w:ascii="Times New Roman" w:hAnsi="Times New Roman"/>
          <w:b w:val="false"/>
          <w:bCs w:val="false"/>
          <w:sz w:val="22"/>
          <w:szCs w:val="22"/>
          <w:lang w:eastAsia="el-GR"/>
        </w:rPr>
        <w:t xml:space="preserve">1.453,62 </w:t>
      </w:r>
      <w:bookmarkEnd w:id="1"/>
      <w:r>
        <w:rPr>
          <w:rFonts w:eastAsia="Times New Roman" w:cs="Arial" w:ascii="Times New Roman" w:hAnsi="Times New Roman"/>
          <w:b w:val="false"/>
          <w:bCs w:val="false"/>
          <w:sz w:val="22"/>
          <w:szCs w:val="22"/>
          <w:lang w:eastAsia="el-GR"/>
        </w:rPr>
        <w:t>ευρώ, όπως ισχυρίζεται ο ενάγων, προκύπτει από τα προσκομισθέντα ενημερωτικά σημειώματα συντάξεων και ρητώς συνομολογεί το εναγόμενο με το ευρισκόμενο μεταξύ των στοιχείων του διοικητικού φακέλου της υπόθεσης από 19-6-2019 υπηρεσιακό σημείωμά</w:t>
      </w:r>
      <w:r>
        <w:rPr>
          <w:rFonts w:eastAsia="Times New Roman" w:cs="Arial" w:ascii="Times New Roman" w:hAnsi="Times New Roman"/>
          <w:b w:val="false"/>
          <w:bCs w:val="false"/>
          <w:sz w:val="22"/>
          <w:szCs w:val="22"/>
          <w:lang w:eastAsia="el-GR"/>
        </w:rPr>
        <w:t xml:space="preserve">) </w:t>
      </w:r>
      <w:r>
        <w:rPr>
          <w:rFonts w:eastAsia="Times New Roman" w:cs="Arial" w:ascii="Times New Roman" w:hAnsi="Times New Roman"/>
          <w:b w:val="false"/>
          <w:bCs w:val="false"/>
          <w:sz w:val="22"/>
          <w:szCs w:val="22"/>
          <w:lang w:eastAsia="el-GR"/>
        </w:rPr>
        <w:t xml:space="preserve">προς τη Διεύθυνση Νομικών Υπηρεσιών του (34,61 ευρώ Χ 42 μήνες). </w:t>
      </w:r>
      <w:r>
        <w:rPr>
          <w:rFonts w:cs="Arial" w:ascii="Times New Roman" w:hAnsi="Times New Roman"/>
          <w:b w:val="false"/>
          <w:bCs w:val="false"/>
          <w:sz w:val="22"/>
          <w:szCs w:val="22"/>
        </w:rPr>
        <w:t xml:space="preserve">Ήδη, με την κρινόμενη αγωγή του, ο ενάγων </w:t>
      </w:r>
      <w:r>
        <w:rPr>
          <w:rFonts w:eastAsia="Times New Roman" w:cs="Arial" w:ascii="Times New Roman" w:hAnsi="Times New Roman"/>
          <w:b w:val="false"/>
          <w:bCs w:val="false"/>
          <w:sz w:val="22"/>
          <w:szCs w:val="22"/>
        </w:rPr>
        <w:t xml:space="preserve">υποστηρίζει ότι οι ως άνω περικοπές  που επιβλήθηκαν στο ποσό της λαμβανόμενης από το εναγόμενο σύνταξής του αντίκεινται στα άρθρα 2 παρ. 1, 4παρ. 1 και 5, 25 παρ. 1 και 4, 26 και 73 παρ. 2 του Συντάγματος, καθώς επίσης και στο άρθρο 1 του Πρώτου Πρόσθετου Πρωτοκόλλου της ΕΣΔΑ και ζητεί να αναγνωριστεί η υποχρέωση του εναγομένου να του καταβάλει, νομιμοτόκως, το ως άνω ποσό των </w:t>
      </w:r>
      <w:r>
        <w:rPr>
          <w:rFonts w:eastAsia="Times New Roman" w:cs="Arial" w:ascii="Times New Roman" w:hAnsi="Times New Roman"/>
          <w:b w:val="false"/>
          <w:bCs w:val="false"/>
          <w:sz w:val="22"/>
          <w:szCs w:val="22"/>
          <w:lang w:eastAsia="el-GR"/>
        </w:rPr>
        <w:t xml:space="preserve">1.453,62 </w:t>
      </w:r>
      <w:r>
        <w:rPr>
          <w:rFonts w:eastAsia="Times New Roman" w:cs="Arial" w:ascii="Times New Roman" w:hAnsi="Times New Roman"/>
          <w:b w:val="false"/>
          <w:bCs w:val="false"/>
          <w:sz w:val="22"/>
          <w:szCs w:val="22"/>
        </w:rPr>
        <w:t xml:space="preserve"> ευρώ, ως αποζημίωση, προς αποκατάσταση της ισόποσης οικονομικής ζημίας που υπέστη, λόγω των ως άνω περικοπών και μειώσε</w:t>
      </w:r>
      <w:bookmarkStart w:id="2" w:name="_GoBack"/>
      <w:bookmarkEnd w:id="2"/>
      <w:r>
        <w:rPr>
          <w:rFonts w:eastAsia="Times New Roman" w:cs="Arial" w:ascii="Times New Roman" w:hAnsi="Times New Roman"/>
          <w:b w:val="false"/>
          <w:bCs w:val="false"/>
          <w:sz w:val="22"/>
          <w:szCs w:val="22"/>
        </w:rPr>
        <w:t>ων, καθώς επίσης και το ποσό των 1.000,00 ευρώ, ως χρηματική ικανοποίηση για την ηθική βλάβη που υπέστη από τις παράνομες, κατά τα ανωτέρω πράξεις οργάνων του.</w:t>
      </w:r>
    </w:p>
    <w:p>
      <w:pPr>
        <w:pStyle w:val="Normal"/>
        <w:spacing w:lineRule="auto" w:line="360" w:before="0" w:after="0"/>
        <w:ind w:left="0" w:right="0" w:firstLine="720"/>
        <w:jc w:val="both"/>
        <w:rPr>
          <w:rFonts w:eastAsia="Times New Roman" w:cs="Arial" w:ascii="Times New Roman" w:hAnsi="Times New Roman"/>
          <w:b w:val="false"/>
          <w:bCs w:val="false"/>
          <w:sz w:val="22"/>
          <w:szCs w:val="22"/>
        </w:rPr>
      </w:pPr>
      <w:r>
        <w:rPr>
          <w:rFonts w:eastAsia="Times New Roman" w:cs="Arial" w:ascii="Times New Roman" w:hAnsi="Times New Roman"/>
          <w:b w:val="false"/>
          <w:bCs w:val="false"/>
          <w:sz w:val="22"/>
          <w:szCs w:val="22"/>
          <w:lang w:eastAsia="el-GR"/>
        </w:rPr>
        <w:t>8.</w:t>
      </w:r>
      <w:r>
        <w:rPr>
          <w:rFonts w:cs="Arial" w:ascii="Times New Roman" w:hAnsi="Times New Roman"/>
          <w:b w:val="false"/>
          <w:bCs w:val="false"/>
          <w:sz w:val="22"/>
          <w:szCs w:val="22"/>
        </w:rPr>
        <w:t xml:space="preserve"> Επειδή, με τα δεδομένα αυτά, το Δικαστήριο κρίνει, κατ’ αρχάς, ότι η κρινόμενη αγωγή δεν πάσχει από αοριστία, καθόσον στο δικόγραφο αυτής περιλαμβάνονται με σαφήνεια όλα τα κρίσιμα πραγματικά περιστατικά, οι λόγοι που θεμελιώνουν κατά νόμο την επίμαχη αξίωση και σαφώς καθορισμένο αίτημα, απορριπτομένου του σχετικού προβληθέντος με το από 20-6-2019 υπόμνημα ισχυρισμού του εναγομένου ως αβάσιμου. Περαιτέρω, το Δικαστήριο,  λαμβάνοντας υπόψη ότι, σύμφωνα με όσα έγιναν ερμηνευτικώς δεκτά στη μείζονα πρόταση της παρούσας, οι προαναφερόμενες διατάξεις </w:t>
      </w:r>
      <w:r>
        <w:rPr>
          <w:rFonts w:eastAsia="Times New Roman" w:cs="Arial" w:ascii="Times New Roman" w:hAnsi="Times New Roman"/>
          <w:b w:val="false"/>
          <w:bCs w:val="false"/>
          <w:sz w:val="22"/>
          <w:szCs w:val="22"/>
          <w:lang w:eastAsia="el-GR"/>
        </w:rPr>
        <w:t xml:space="preserve">του άρθρου πρώτου παρ. ΙΑ υποπαρ. ΙΑ.5 περ. 1 του ν. 4093/2012 </w:t>
      </w:r>
      <w:r>
        <w:rPr>
          <w:rFonts w:cs="Arial" w:ascii="Times New Roman" w:hAnsi="Times New Roman"/>
          <w:b w:val="false"/>
          <w:bCs w:val="false"/>
          <w:sz w:val="22"/>
          <w:szCs w:val="22"/>
        </w:rPr>
        <w:t xml:space="preserve">είναι αντίθετες στο Σύνταγμα και στο άρθρο 1 του Πρώτου Πρόσθετου Πρωτοκόλλου της Ε.Σ.Δ.Α, κρίνει ότι μη νομίμως περιορίσθηκαν κατ’ εφαρμογή των διατάξεων αυτών τα ποσά της μηνιαίας σύνταξης του ενάγοντος, κατά το χρονικό διάστημα </w:t>
      </w:r>
      <w:r>
        <w:rPr>
          <w:rFonts w:eastAsia="Times New Roman" w:cs="Arial" w:ascii="Times New Roman" w:hAnsi="Times New Roman"/>
          <w:b w:val="false"/>
          <w:bCs w:val="false"/>
          <w:sz w:val="22"/>
          <w:szCs w:val="22"/>
          <w:lang w:eastAsia="el-GR"/>
        </w:rPr>
        <w:t xml:space="preserve">1-7-2015 έως και 31-12-2018, </w:t>
      </w:r>
      <w:r>
        <w:rPr>
          <w:rFonts w:cs="Arial" w:ascii="Times New Roman" w:hAnsi="Times New Roman"/>
          <w:b w:val="false"/>
          <w:bCs w:val="false"/>
          <w:sz w:val="22"/>
          <w:szCs w:val="22"/>
        </w:rPr>
        <w:t>κατά τα βασίμως προβαλλόμενα με την κρινόμενη αγωγή</w:t>
      </w:r>
      <w:r>
        <w:rPr>
          <w:rFonts w:eastAsia="Times New Roman" w:cs="Arial" w:ascii="Times New Roman" w:hAnsi="Times New Roman"/>
          <w:b w:val="false"/>
          <w:bCs w:val="false"/>
          <w:sz w:val="22"/>
          <w:szCs w:val="22"/>
          <w:lang w:eastAsia="el-GR"/>
        </w:rPr>
        <w:t xml:space="preserve">. </w:t>
      </w:r>
      <w:r>
        <w:rPr>
          <w:rFonts w:eastAsia="Times New Roman" w:cs="Arial" w:ascii="Times New Roman" w:hAnsi="Times New Roman"/>
          <w:b w:val="false"/>
          <w:bCs w:val="false"/>
          <w:sz w:val="22"/>
          <w:szCs w:val="22"/>
        </w:rPr>
        <w:t>Επομένως, κατόπιν των ανωτέρω, το Δικαστήριο κρίνει ότι πρέπει να αναγνωριστεί η υποχρέωση του εναγομένου να καταβάλει, ως αποζημίωση, στον ενάγοντα, νομιμοτόκως, από την επίδοση της αγωγής του στο εναγόμενο (στις 20-12-2018, σύμφωνα με την προσκομισθείσα ................ έκθεση επίδοσης του δικαστικού επιμελητή ............</w:t>
      </w:r>
      <w:r>
        <w:rPr>
          <w:rFonts w:eastAsia="Times New Roman" w:cs="Arial" w:ascii="Times New Roman" w:hAnsi="Times New Roman"/>
          <w:b w:val="false"/>
          <w:bCs w:val="false"/>
          <w:sz w:val="22"/>
          <w:szCs w:val="22"/>
        </w:rPr>
        <w:t xml:space="preserve">), </w:t>
      </w:r>
      <w:r>
        <w:rPr>
          <w:rFonts w:eastAsia="Times New Roman" w:cs="Arial" w:ascii="Times New Roman" w:hAnsi="Times New Roman"/>
          <w:b w:val="false"/>
          <w:bCs w:val="false"/>
          <w:sz w:val="22"/>
          <w:szCs w:val="22"/>
        </w:rPr>
        <w:t>το ποσό των 1.453,62 ευρώ, το οποίο αντιστοιχεί στο ποσό των ως άνω μηνιαίων περικοπών. Περαιτέρω, το Δικαστήριο λαμβάνοντας υπόψη ότι εξαιτίας των ανωτέρω παράνομων ενεργειών του εναγομένου, ο ενάγων απώλεσε μέρος των συνταξιοδοτικών του παροχών, κρίνει ότι αυτός υπέστη και ηθική βλάβη προς αποκατάσταση της οποίας πρέπει να αναγνωριστεί η υποχρέωση του εναγομένου να του καταβάλει εύλογη χρηματική ικανοποίηση, ύψους 300,00 ευρώ, νομιμοτόκως από την επίδοση της αγωγής (20-12-2018) κατά μερική παραδοχή του σχετικού αιτήματος της αγωγής, απορριπτομένου του αντίθετου προβαλλόμενου ισχυρισμού του εναγομένου.</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 xml:space="preserve">9. Επειδή, κατ’ ακολουθία  των ανωτέρω, η κρινόμενη αγωγή πρέπει να γίνει εν μέρει δεκτή, να </w:t>
      </w:r>
      <w:bookmarkStart w:id="3" w:name="_Hlk783629"/>
      <w:r>
        <w:rPr>
          <w:rFonts w:eastAsia="Times New Roman" w:cs="Arial" w:ascii="Times New Roman" w:hAnsi="Times New Roman"/>
          <w:b w:val="false"/>
          <w:bCs w:val="false"/>
          <w:sz w:val="22"/>
          <w:szCs w:val="22"/>
          <w:lang w:eastAsia="zh-CN"/>
        </w:rPr>
        <w:t xml:space="preserve">αναγνωριστεί η υποχρέωση του εναγομένου να καταβάλει στον ενάγοντα </w:t>
      </w:r>
      <w:bookmarkEnd w:id="3"/>
      <w:r>
        <w:rPr>
          <w:rFonts w:eastAsia="Times New Roman" w:cs="Arial" w:ascii="Times New Roman" w:hAnsi="Times New Roman"/>
          <w:b w:val="false"/>
          <w:bCs w:val="false"/>
          <w:sz w:val="22"/>
          <w:szCs w:val="22"/>
          <w:lang w:eastAsia="zh-CN"/>
        </w:rPr>
        <w:t>το συνολικό ποσό των 1.753,62 (1453,62 + 300,00) ευρώ νομιμοτόκως από την επίδοση της αγωγής (20-12-2018) και να συμψηφιστούν τα δικαστικά έξοδα μεταξύ των διαδίκων λόγω μερικής νίκης και ήττας αυτών (άρθρο 275 παρ. 1 του ΚΔΔ).</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 xml:space="preserve">                                       </w:t>
      </w:r>
      <w:r>
        <w:rPr>
          <w:rFonts w:eastAsia="Times New Roman" w:cs="Arial" w:ascii="Times New Roman" w:hAnsi="Times New Roman"/>
          <w:b w:val="false"/>
          <w:bCs w:val="false"/>
          <w:sz w:val="22"/>
          <w:szCs w:val="22"/>
          <w:lang w:eastAsia="zh-CN"/>
        </w:rPr>
        <w:t>ΔΙΑ ΤΑΥΤΑ</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Δέχεται εν μέρει την αγωγή</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Αναγνωρίζει την υποχρέωση του εναγομένου να καταβάλει στον ενάγοντα, για την αναφερόμενη στο ιστορικό αιτία, το συνολικό ποσό των 1.753,62 ευρώ, νομιμοτόκως, από την επίδοση της αγωγής (20-12-2018).</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Συμψηφίζει τα δικαστικά έξοδα μεταξύ των διαδίκων.</w:t>
      </w:r>
    </w:p>
    <w:p>
      <w:pPr>
        <w:pStyle w:val="Normal"/>
        <w:suppressAutoHyphens w:val="true"/>
        <w:spacing w:lineRule="auto" w:line="360" w:before="0" w:after="0"/>
        <w:ind w:left="0" w:right="0" w:firstLine="720"/>
        <w:jc w:val="both"/>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 xml:space="preserve">Η απόφαση δημοσιεύθηκε σε έκτακτη δημόσια συνεδρίαση στο ακροατήριο του Δικαστηρίου στην Αθήνα στις </w:t>
      </w:r>
      <w:r>
        <w:rPr>
          <w:rFonts w:eastAsia="Times New Roman" w:cs="Arial" w:ascii="Times New Roman" w:hAnsi="Times New Roman"/>
          <w:b w:val="false"/>
          <w:bCs w:val="false"/>
          <w:sz w:val="22"/>
          <w:szCs w:val="22"/>
          <w:lang w:eastAsia="zh-CN"/>
        </w:rPr>
        <w:t>17</w:t>
      </w:r>
      <w:r>
        <w:rPr>
          <w:rFonts w:eastAsia="Times New Roman" w:cs="Arial" w:ascii="Times New Roman" w:hAnsi="Times New Roman"/>
          <w:b w:val="false"/>
          <w:bCs w:val="false"/>
          <w:sz w:val="22"/>
          <w:szCs w:val="22"/>
          <w:lang w:eastAsia="zh-CN"/>
        </w:rPr>
        <w:t>-7-2019.</w:t>
      </w:r>
    </w:p>
    <w:p>
      <w:pPr>
        <w:pStyle w:val="Normal"/>
        <w:suppressAutoHyphens w:val="true"/>
        <w:spacing w:lineRule="auto" w:line="360" w:before="0" w:after="0"/>
        <w:ind w:left="0" w:right="0" w:hanging="0"/>
        <w:jc w:val="center"/>
        <w:rPr>
          <w:rFonts w:eastAsia="Times New Roman" w:cs="Arial" w:ascii="Times New Roman" w:hAnsi="Times New Roman"/>
          <w:b w:val="false"/>
          <w:bCs w:val="false"/>
          <w:sz w:val="22"/>
          <w:szCs w:val="22"/>
          <w:lang w:eastAsia="zh-CN"/>
        </w:rPr>
      </w:pPr>
      <w:r>
        <w:rPr>
          <w:rFonts w:eastAsia="Times New Roman" w:cs="Arial" w:ascii="Times New Roman" w:hAnsi="Times New Roman"/>
          <w:b w:val="false"/>
          <w:bCs w:val="false"/>
          <w:sz w:val="22"/>
          <w:szCs w:val="22"/>
          <w:lang w:eastAsia="zh-CN"/>
        </w:rPr>
        <w:t>Η ΔΙΚΑΣΤΗΣ</w:t>
        <w:tab/>
        <w:tab/>
        <w:tab/>
        <w:tab/>
        <w:tab/>
        <w:t xml:space="preserve">      Η ΓΡΑΜΜΑΤΕΑΣ</w:t>
      </w:r>
    </w:p>
    <w:p>
      <w:pPr>
        <w:pStyle w:val="Style23"/>
        <w:suppressLineNumbers/>
        <w:tabs>
          <w:tab w:val="left" w:pos="247" w:leader="none"/>
        </w:tabs>
        <w:spacing w:lineRule="auto" w:line="360"/>
        <w:ind w:left="850" w:right="0" w:hanging="0"/>
        <w:jc w:val="left"/>
        <w:rPr>
          <w:rFonts w:ascii="Times New Roman" w:hAnsi="Times New Roman"/>
          <w:b w:val="false"/>
          <w:bCs w:val="false"/>
          <w:sz w:val="22"/>
          <w:szCs w:val="22"/>
        </w:rPr>
      </w:pPr>
      <w:r>
        <w:rPr>
          <w:rFonts w:ascii="Times New Roman" w:hAnsi="Times New Roman"/>
          <w:b w:val="false"/>
          <w:bCs w:val="false"/>
          <w:sz w:val="22"/>
          <w:szCs w:val="22"/>
        </w:rPr>
        <w:t xml:space="preserve"> </w:t>
      </w:r>
    </w:p>
    <w:sectPr>
      <w:headerReference w:type="default" r:id="rId8"/>
      <w:footerReference w:type="default" r:id="rId9"/>
      <w:type w:val="nextPage"/>
      <w:pgSz w:w="11906" w:h="16838"/>
      <w:pgMar w:left="1800" w:right="1541"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mo">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fldChar w:fldCharType="begin"/>
    </w:r>
    <w:r>
      <w:instrText> PAGE </w:instrText>
    </w:r>
    <w:r>
      <w:fldChar w:fldCharType="separate"/>
    </w:r>
    <w:r>
      <w:t>8</w:t>
    </w:r>
    <w:r>
      <w:fldChar w:fldCharType="end"/>
    </w:r>
  </w:p>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rPr>
        <w:rFonts w:cs="Arial" w:ascii="Times New Roman" w:hAnsi="Times New Roman"/>
        <w:b/>
        <w:bCs/>
        <w:sz w:val="24"/>
        <w:szCs w:val="24"/>
      </w:rPr>
    </w:pPr>
    <w:r>
      <w:rPr>
        <w:rFonts w:cs="Arial" w:ascii="Times New Roman" w:hAnsi="Times New Roman"/>
        <w:b/>
        <w:bCs/>
        <w:sz w:val="24"/>
        <w:szCs w:val="24"/>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Nimbus Roman No9 L" w:cs="Calibri"/>
        <w:sz w:val="22"/>
        <w:szCs w:val="22"/>
        <w:lang w:val="el-GR" w:eastAsia="en-US" w:bidi="ar-SA"/>
      </w:rPr>
    </w:rPrDefault>
    <w:pPrDefault>
      <w:pPr>
        <w:spacing w:lineRule="auto" w:line="256"/>
      </w:pPr>
    </w:pPrDefault>
  </w:docDefaults>
  <w:style w:type="paragraph" w:styleId="Normal">
    <w:name w:val="Normal"/>
    <w:pPr>
      <w:widowControl/>
      <w:suppressAutoHyphens w:val="true"/>
      <w:kinsoku w:val="true"/>
      <w:overflowPunct w:val="true"/>
      <w:autoSpaceDE w:val="true"/>
      <w:bidi w:val="0"/>
      <w:spacing w:lineRule="auto" w:line="252" w:before="0" w:after="160"/>
    </w:pPr>
    <w:rPr>
      <w:rFonts w:ascii="Calibri" w:hAnsi="Calibri" w:eastAsia="Calibri" w:cs="Times New Roman"/>
      <w:color w:val="auto"/>
      <w:sz w:val="22"/>
      <w:szCs w:val="22"/>
      <w:lang w:eastAsia="zh-CN" w:val="el-GR" w:bidi="ar-SA"/>
    </w:rPr>
  </w:style>
  <w:style w:type="character" w:styleId="DefaultParagraphFont">
    <w:name w:val="Default Paragraph Font"/>
    <w:rPr/>
  </w:style>
  <w:style w:type="character" w:styleId="Style14">
    <w:name w:val="Έντονη έμφαση"/>
    <w:basedOn w:val="DefaultParagraphFont"/>
    <w:rPr>
      <w:b/>
      <w:bCs/>
    </w:rPr>
  </w:style>
  <w:style w:type="character" w:styleId="Char">
    <w:name w:val="Κεφαλίδα Char"/>
    <w:basedOn w:val="DefaultParagraphFont"/>
    <w:rPr/>
  </w:style>
  <w:style w:type="character" w:styleId="Char1">
    <w:name w:val="Υποσέλιδο Char"/>
    <w:basedOn w:val="DefaultParagraphFont"/>
    <w:rPr/>
  </w:style>
  <w:style w:type="character" w:styleId="Style15">
    <w:name w:val="Σύνδεσμος διαδικτύου"/>
    <w:rPr>
      <w:color w:val="000080"/>
      <w:u w:val="single"/>
      <w:lang w:val="zxx" w:eastAsia="zxx" w:bidi="zxx"/>
    </w:rPr>
  </w:style>
  <w:style w:type="paragraph" w:styleId="Style16">
    <w:name w:val="Επικεφαλίδα"/>
    <w:basedOn w:val="Normal"/>
    <w:next w:val="Style17"/>
    <w:pPr>
      <w:keepNext/>
      <w:spacing w:before="240" w:after="120"/>
    </w:pPr>
    <w:rPr>
      <w:rFonts w:ascii="Arimo" w:hAnsi="Arimo" w:eastAsia="Nimbus Roman No9 L" w:cs="Nimbus Sans L"/>
      <w:sz w:val="28"/>
      <w:szCs w:val="28"/>
    </w:rPr>
  </w:style>
  <w:style w:type="paragraph" w:styleId="Style17">
    <w:name w:val="Σώμα κειμένου"/>
    <w:basedOn w:val="Normal"/>
    <w:pPr>
      <w:spacing w:before="0" w:after="120"/>
    </w:pPr>
    <w:rPr/>
  </w:style>
  <w:style w:type="paragraph" w:styleId="Style18">
    <w:name w:val="Λίστα"/>
    <w:basedOn w:val="Style17"/>
    <w:pPr/>
    <w:rPr>
      <w:rFonts w:cs="Nimbus Sans L"/>
    </w:rPr>
  </w:style>
  <w:style w:type="paragraph" w:styleId="Style19">
    <w:name w:val="Υπόμνημα"/>
    <w:basedOn w:val="Normal"/>
    <w:pPr>
      <w:suppressLineNumbers/>
      <w:spacing w:before="120" w:after="120"/>
    </w:pPr>
    <w:rPr>
      <w:rFonts w:cs="Nimbus Sans L"/>
      <w:i/>
      <w:iCs/>
      <w:sz w:val="24"/>
      <w:szCs w:val="24"/>
    </w:rPr>
  </w:style>
  <w:style w:type="paragraph" w:styleId="Style20">
    <w:name w:val="Ευρετήριο"/>
    <w:basedOn w:val="Normal"/>
    <w:pPr>
      <w:suppressLineNumbers/>
    </w:pPr>
    <w:rPr>
      <w:rFonts w:cs="Nimbus Sans L"/>
    </w:rPr>
  </w:style>
  <w:style w:type="paragraph" w:styleId="Style21">
    <w:name w:val="Κεφαλίδα"/>
    <w:basedOn w:val="Normal"/>
    <w:pPr>
      <w:suppressLineNumbers/>
      <w:tabs>
        <w:tab w:val="center" w:pos="4153" w:leader="none"/>
        <w:tab w:val="right" w:pos="8306" w:leader="none"/>
      </w:tabs>
      <w:spacing w:lineRule="auto" w:line="240" w:before="0" w:after="0"/>
    </w:pPr>
    <w:rPr/>
  </w:style>
  <w:style w:type="paragraph" w:styleId="Style22">
    <w:name w:val="Υποσέλιδο"/>
    <w:basedOn w:val="Normal"/>
    <w:pPr>
      <w:suppressLineNumbers/>
      <w:tabs>
        <w:tab w:val="center" w:pos="4153" w:leader="none"/>
        <w:tab w:val="right" w:pos="8306" w:leader="none"/>
      </w:tabs>
      <w:spacing w:lineRule="auto" w:line="240" w:before="0" w:after="0"/>
    </w:pPr>
    <w:rPr/>
  </w:style>
  <w:style w:type="paragraph" w:styleId="Style23">
    <w:name w:val="Περιεχόμενα πίνακα"/>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djustice.gr/osddyddweb/" TargetMode="External"/><Relationship Id="rId3"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 Id="rId5" Type="http://schemas.openxmlformats.org/officeDocument/2006/relationships/hyperlink" Target="https://www.adjustice.gr/osddyddweb/" TargetMode="External"/><Relationship Id="rId6" Type="http://schemas.openxmlformats.org/officeDocument/2006/relationships/hyperlink" Target="https://www.adjustice.gr/osddyddweb/" TargetMode="External"/><Relationship Id="rId7" Type="http://schemas.openxmlformats.org/officeDocument/2006/relationships/hyperlink" Target="https://www.adjustice.gr/osddyddwe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2019-07-09T08:11:00Z</dcterms:created>
  <dc:creator>proedros10</dc:creator>
  <dc:language>el-GR</dc:language>
  <cp:lastPrinted>2019-07-18T11:59:05Z</cp:lastPrinted>
  <dcterms:modified xsi:type="dcterms:W3CDTF">2019-07-26T14:56:06Z</dcterms:modified>
  <cp:revision>16</cp:revision>
</cp:coreProperties>
</file>